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38B8596B">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&#13;&#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&#13;&#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&#13;&#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Please note that the terms “our teams” and ”team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r w:rsidRPr="003214DD">
        <w:rPr>
          <w:rFonts w:ascii="Arial" w:hAnsi="Arial" w:cs="Arial"/>
        </w:rPr>
        <w:t>Behaviour Policy (Person-Centred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Person-Centred Neurodivergence Affirming</w:t>
      </w:r>
      <w:r w:rsidRPr="003214DD">
        <w:rPr>
          <w:rFonts w:ascii="Arial" w:hAnsi="Arial" w:cs="Arial"/>
          <w:lang w:val="en-GB"/>
        </w:rPr>
        <w:t xml:space="preserve"> </w:t>
      </w:r>
      <w:r w:rsidRPr="003214DD">
        <w:rPr>
          <w:rFonts w:ascii="Arial" w:hAnsi="Arial" w:cs="Arial"/>
        </w:rPr>
        <w:t>Behaviour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which sets out parental responsibility for 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The headteacher will not reach their decision until they have made every effort to meaningfully hear from the pupil and will inform the pupil of how their views were taken into account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drawing>
          <wp:anchor distT="0" distB="0" distL="114300" distR="114300" simplePos="0" relativeHeight="251838976" behindDoc="0" locked="0" layoutInCell="1" allowOverlap="1" wp14:anchorId="50721514" wp14:editId="384B3837">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A89D" w14:textId="77777777" w:rsidR="003050EE" w:rsidRDefault="003050EE" w:rsidP="00510FCA">
      <w:r>
        <w:separator/>
      </w:r>
    </w:p>
  </w:endnote>
  <w:endnote w:type="continuationSeparator" w:id="0">
    <w:p w14:paraId="0E6ECC9E" w14:textId="77777777" w:rsidR="003050EE" w:rsidRDefault="003050EE"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4D"/>
    <w:family w:val="auto"/>
    <w:pitch w:val="variable"/>
    <w:sig w:usb0="A00000FF" w:usb1="5000E07B" w:usb2="00000000" w:usb3="00000000" w:csb0="00000193"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panose1 w:val="020B0604020202020204"/>
    <w:charset w:val="00"/>
    <w:family w:val="auto"/>
    <w:pitch w:val="variable"/>
    <w:sig w:usb0="A00002BF" w:usb1="5000206B" w:usb2="00000000" w:usb3="00000000" w:csb0="0000019F" w:csb1="00000000"/>
  </w:font>
  <w:font w:name="Manrope ExtraLight">
    <w:altName w:val="Calibri"/>
    <w:panose1 w:val="020B0604020202020204"/>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EAF98"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&#13;&#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&#13;&#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47DB" w14:textId="77777777" w:rsidR="003050EE" w:rsidRDefault="003050EE" w:rsidP="00510FCA">
      <w:r>
        <w:separator/>
      </w:r>
    </w:p>
  </w:footnote>
  <w:footnote w:type="continuationSeparator" w:id="0">
    <w:p w14:paraId="2979D5C2" w14:textId="77777777" w:rsidR="003050EE" w:rsidRDefault="003050EE"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&#13;&#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5F4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10.9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33445"/>
    <w:rsid w:val="001D7E0D"/>
    <w:rsid w:val="002049F5"/>
    <w:rsid w:val="00204B9D"/>
    <w:rsid w:val="00263F7C"/>
    <w:rsid w:val="002668B3"/>
    <w:rsid w:val="0028061C"/>
    <w:rsid w:val="002A3628"/>
    <w:rsid w:val="003050EE"/>
    <w:rsid w:val="003214DD"/>
    <w:rsid w:val="00331417"/>
    <w:rsid w:val="003568A1"/>
    <w:rsid w:val="003627D4"/>
    <w:rsid w:val="00396A5B"/>
    <w:rsid w:val="003D5418"/>
    <w:rsid w:val="00426315"/>
    <w:rsid w:val="004465CA"/>
    <w:rsid w:val="004472FF"/>
    <w:rsid w:val="004547D5"/>
    <w:rsid w:val="00510FCA"/>
    <w:rsid w:val="00554249"/>
    <w:rsid w:val="005704FD"/>
    <w:rsid w:val="005C4D6E"/>
    <w:rsid w:val="005F28BF"/>
    <w:rsid w:val="005F313C"/>
    <w:rsid w:val="006A1176"/>
    <w:rsid w:val="006A3280"/>
    <w:rsid w:val="006F023D"/>
    <w:rsid w:val="00816D0F"/>
    <w:rsid w:val="00835406"/>
    <w:rsid w:val="00892E27"/>
    <w:rsid w:val="00977A2C"/>
    <w:rsid w:val="00A00F40"/>
    <w:rsid w:val="00A54892"/>
    <w:rsid w:val="00A920D8"/>
    <w:rsid w:val="00AD7A7C"/>
    <w:rsid w:val="00B23C4E"/>
    <w:rsid w:val="00BD5ACF"/>
    <w:rsid w:val="00BE1F4B"/>
    <w:rsid w:val="00C05363"/>
    <w:rsid w:val="00C06057"/>
    <w:rsid w:val="00C204EB"/>
    <w:rsid w:val="00C25E43"/>
    <w:rsid w:val="00CC41ED"/>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ed8f77cb2eb02c58accfe887e5a74173">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54c5f88ff16e44650ae6d37f6ab9247d"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ECE969CB-E8A5-4EED-875B-F871504D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5575</Words>
  <Characters>32280</Characters>
  <Application>Microsoft Office Word</Application>
  <DocSecurity>0</DocSecurity>
  <Lines>1195</Lines>
  <Paragraphs>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Gill Hughes</cp:lastModifiedBy>
  <cp:revision>3</cp:revision>
  <dcterms:created xsi:type="dcterms:W3CDTF">2025-01-31T18:35:00Z</dcterms:created>
  <dcterms:modified xsi:type="dcterms:W3CDTF">2025-01-31T18:40:00Z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docLang">
    <vt:lpwstr>en</vt:lpwstr>
  </property>
  <property fmtid="{D5CDD505-2E9C-101B-9397-08002B2CF9AE}" pid="7" name="MediaServiceImageTags">
    <vt:lpwstr/>
  </property>
</Properties>
</file>